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63" w:rsidRDefault="008E7763" w:rsidP="002B64C5">
      <w:pPr>
        <w:pStyle w:val="Heading1"/>
        <w:spacing w:after="120"/>
        <w:rPr>
          <w:b/>
        </w:rPr>
      </w:pPr>
      <w:r>
        <w:rPr>
          <w:b/>
          <w:noProof/>
          <w:lang w:eastAsia="en-AU"/>
        </w:rPr>
        <w:drawing>
          <wp:inline distT="0" distB="0" distL="0" distR="0">
            <wp:extent cx="5731510" cy="34588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G logo with text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763" w:rsidRDefault="008E7763" w:rsidP="002B64C5">
      <w:pPr>
        <w:pStyle w:val="Heading1"/>
        <w:spacing w:after="120"/>
        <w:rPr>
          <w:b/>
        </w:rPr>
      </w:pPr>
    </w:p>
    <w:p w:rsidR="00AB553B" w:rsidRPr="005A4DDF" w:rsidRDefault="00985A47" w:rsidP="002B64C5">
      <w:pPr>
        <w:pStyle w:val="Heading1"/>
        <w:spacing w:after="120"/>
        <w:rPr>
          <w:b/>
        </w:rPr>
      </w:pPr>
      <w:r w:rsidRPr="005A4DDF">
        <w:rPr>
          <w:b/>
        </w:rPr>
        <w:t xml:space="preserve">Information Sheet: </w:t>
      </w:r>
      <w:r w:rsidR="000B0911">
        <w:rPr>
          <w:b/>
        </w:rPr>
        <w:t>NDIS Service decision-making</w:t>
      </w:r>
      <w:r w:rsidRPr="005A4DDF">
        <w:rPr>
          <w:b/>
        </w:rPr>
        <w:t xml:space="preserve"> and Guardianship</w:t>
      </w:r>
    </w:p>
    <w:p w:rsidR="00282AEC" w:rsidRDefault="00282AEC" w:rsidP="002B64C5">
      <w:pPr>
        <w:spacing w:after="120"/>
        <w:rPr>
          <w:sz w:val="24"/>
          <w:szCs w:val="24"/>
        </w:rPr>
      </w:pPr>
    </w:p>
    <w:p w:rsidR="00282AEC" w:rsidRDefault="00282AEC" w:rsidP="00282AEC">
      <w:pPr>
        <w:spacing w:after="120"/>
        <w:rPr>
          <w:rFonts w:asciiTheme="majorHAnsi" w:hAnsiTheme="majorHAnsi"/>
          <w:b/>
          <w:color w:val="1F497D" w:themeColor="text2"/>
          <w:sz w:val="20"/>
          <w:szCs w:val="20"/>
        </w:rPr>
      </w:pPr>
      <w:r w:rsidRPr="00036474"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4D35E" wp14:editId="28CD8BD3">
                <wp:simplePos x="0" y="0"/>
                <wp:positionH relativeFrom="margin">
                  <wp:align>right</wp:align>
                </wp:positionH>
                <wp:positionV relativeFrom="paragraph">
                  <wp:posOffset>296545</wp:posOffset>
                </wp:positionV>
                <wp:extent cx="5734685" cy="3204845"/>
                <wp:effectExtent l="0" t="0" r="18415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685" cy="32048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61DD" w:rsidRPr="00C807BF" w:rsidRDefault="00BA61DD" w:rsidP="00BA61D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20"/>
                            </w:pPr>
                            <w:r w:rsidRPr="00C807BF">
                              <w:t>Adults with disabilities have the right to make their own decisions, or to participate as fully as possible in decision-making</w:t>
                            </w:r>
                            <w:r w:rsidR="0024659B">
                              <w:t>.</w:t>
                            </w:r>
                          </w:p>
                          <w:p w:rsidR="00BA61DD" w:rsidRPr="00C807BF" w:rsidRDefault="00BA61DD" w:rsidP="00BA61D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20"/>
                            </w:pPr>
                            <w:r w:rsidRPr="00C807BF">
                              <w:t>Persons with disability are to be provided with support to help them make and implement decisions</w:t>
                            </w:r>
                            <w:r w:rsidR="0024659B">
                              <w:t>.</w:t>
                            </w:r>
                          </w:p>
                          <w:p w:rsidR="00BA61DD" w:rsidRPr="00C807BF" w:rsidRDefault="00BA61DD" w:rsidP="00BA61D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20"/>
                            </w:pPr>
                            <w:r w:rsidRPr="00C807BF">
                              <w:t xml:space="preserve">Families, carers, </w:t>
                            </w:r>
                            <w:r w:rsidR="000B0911">
                              <w:t>significant people,</w:t>
                            </w:r>
                            <w:r w:rsidRPr="00C807BF">
                              <w:t xml:space="preserve"> advocates </w:t>
                            </w:r>
                            <w:r w:rsidR="000B0911">
                              <w:t xml:space="preserve">and helping professionals (“supporters”) </w:t>
                            </w:r>
                            <w:r w:rsidRPr="00C807BF">
                              <w:t>have a legitimate and important role in supporting people with disabilities with decision-making</w:t>
                            </w:r>
                            <w:r w:rsidR="0024659B">
                              <w:t>.</w:t>
                            </w:r>
                          </w:p>
                          <w:p w:rsidR="00BA61DD" w:rsidRPr="00C807BF" w:rsidRDefault="00BA61DD" w:rsidP="00BA61D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20"/>
                            </w:pPr>
                            <w:r w:rsidRPr="00C807BF">
                              <w:t>Substitute decision-making should only be used as a last resort, when all forms of support have been exhausted.</w:t>
                            </w:r>
                          </w:p>
                          <w:p w:rsidR="00BA61DD" w:rsidRPr="00C807BF" w:rsidRDefault="00BA61DD" w:rsidP="00BA61D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20"/>
                            </w:pPr>
                            <w:r w:rsidRPr="00C807BF">
                              <w:t xml:space="preserve">Adults are assumed to have the capacity to make a decision unless it is established that the person is unable to understand, retain and weigh up information relevant to the decision, and to communicate the decision </w:t>
                            </w:r>
                            <w:r w:rsidRPr="00C807BF">
                              <w:rPr>
                                <w:i/>
                              </w:rPr>
                              <w:t>by some means</w:t>
                            </w:r>
                            <w:r w:rsidRPr="00C807BF">
                              <w:t xml:space="preserve">. </w:t>
                            </w:r>
                          </w:p>
                          <w:p w:rsidR="00BA61DD" w:rsidRPr="00C807BF" w:rsidRDefault="00BA61DD" w:rsidP="00BA61DD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120"/>
                            </w:pPr>
                            <w:r w:rsidRPr="00C807BF">
                              <w:t>Decision-making capacity is specific to the decision at hand, and can fluctuate depending on a range of factors, including the complexity of the decision, the person’s physical and emotional health, and, importantly, the support they have to make the decision.</w:t>
                            </w:r>
                          </w:p>
                          <w:p w:rsidR="00092CD0" w:rsidRPr="00C807BF" w:rsidRDefault="00092CD0" w:rsidP="00BA61DD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4D3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0.35pt;margin-top:23.35pt;width:451.55pt;height:252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" fillcolor="#b8cce4 [1300]" strokeweight=".5pt">
                <v:textbox>
                  <w:txbxContent>
                    <w:p w:rsidR="00BA61DD" w:rsidRPr="00C807BF" w:rsidRDefault="00BA61DD" w:rsidP="00BA61D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20"/>
                      </w:pPr>
                      <w:r w:rsidRPr="00C807BF">
                        <w:t>Adults with disabilities have the right to make their own decisions, or to participate as fully as possible in decision-making</w:t>
                      </w:r>
                      <w:r w:rsidR="0024659B">
                        <w:t>.</w:t>
                      </w:r>
                    </w:p>
                    <w:p w:rsidR="00BA61DD" w:rsidRPr="00C807BF" w:rsidRDefault="00BA61DD" w:rsidP="00BA61D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20"/>
                      </w:pPr>
                      <w:r w:rsidRPr="00C807BF">
                        <w:t>Persons with disability are to be provided with support to help them make and implement decisions</w:t>
                      </w:r>
                      <w:r w:rsidR="0024659B">
                        <w:t>.</w:t>
                      </w:r>
                    </w:p>
                    <w:p w:rsidR="00BA61DD" w:rsidRPr="00C807BF" w:rsidRDefault="00BA61DD" w:rsidP="00BA61D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20"/>
                      </w:pPr>
                      <w:r w:rsidRPr="00C807BF">
                        <w:t xml:space="preserve">Families, carers, </w:t>
                      </w:r>
                      <w:r w:rsidR="000B0911">
                        <w:t>significant people,</w:t>
                      </w:r>
                      <w:r w:rsidRPr="00C807BF">
                        <w:t xml:space="preserve"> advocates </w:t>
                      </w:r>
                      <w:r w:rsidR="000B0911">
                        <w:t xml:space="preserve">and helping professionals (“supporters”) </w:t>
                      </w:r>
                      <w:r w:rsidRPr="00C807BF">
                        <w:t>have a legitimate and important role in supporting people with disabilities with decision-making</w:t>
                      </w:r>
                      <w:r w:rsidR="0024659B">
                        <w:t>.</w:t>
                      </w:r>
                    </w:p>
                    <w:p w:rsidR="00BA61DD" w:rsidRPr="00C807BF" w:rsidRDefault="00BA61DD" w:rsidP="00BA61D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20"/>
                      </w:pPr>
                      <w:r w:rsidRPr="00C807BF">
                        <w:t>Substitute decision-making should only be used as a last resort, when all forms of support have been exhausted.</w:t>
                      </w:r>
                    </w:p>
                    <w:p w:rsidR="00BA61DD" w:rsidRPr="00C807BF" w:rsidRDefault="00BA61DD" w:rsidP="00BA61D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20"/>
                      </w:pPr>
                      <w:r w:rsidRPr="00C807BF">
                        <w:t xml:space="preserve">Adults are assumed to have the capacity to make a decision unless it is established that the person is unable to understand, retain and weigh up information relevant to the decision, and to communicate the decision </w:t>
                      </w:r>
                      <w:r w:rsidRPr="00C807BF">
                        <w:rPr>
                          <w:i/>
                        </w:rPr>
                        <w:t>by some means</w:t>
                      </w:r>
                      <w:r w:rsidRPr="00C807BF">
                        <w:t xml:space="preserve">. </w:t>
                      </w:r>
                    </w:p>
                    <w:p w:rsidR="00BA61DD" w:rsidRPr="00C807BF" w:rsidRDefault="00BA61DD" w:rsidP="00BA61DD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120"/>
                      </w:pPr>
                      <w:r w:rsidRPr="00C807BF">
                        <w:t>Decision-making capacity is specific to the decision at hand, and can fluctuate depending on a range of factors, including the complexity of the decision, the person’s physical and emotional health, and, importantly, the support they have to make the decision.</w:t>
                      </w:r>
                    </w:p>
                    <w:p w:rsidR="00092CD0" w:rsidRPr="00C807BF" w:rsidRDefault="00092CD0" w:rsidP="00BA61DD">
                      <w:pPr>
                        <w:spacing w:after="12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36474">
        <w:rPr>
          <w:rFonts w:asciiTheme="majorHAnsi" w:hAnsiTheme="majorHAnsi"/>
          <w:b/>
          <w:color w:val="1F497D" w:themeColor="text2"/>
          <w:sz w:val="20"/>
          <w:szCs w:val="20"/>
        </w:rPr>
        <w:t xml:space="preserve">Overarching principles that underpin </w:t>
      </w:r>
      <w:r w:rsidR="000B0911">
        <w:rPr>
          <w:rFonts w:asciiTheme="majorHAnsi" w:hAnsiTheme="majorHAnsi"/>
          <w:b/>
          <w:color w:val="1F497D" w:themeColor="text2"/>
          <w:sz w:val="20"/>
          <w:szCs w:val="20"/>
        </w:rPr>
        <w:t>NDIS Service Decision-making</w:t>
      </w:r>
      <w:r w:rsidRPr="00036474">
        <w:rPr>
          <w:rFonts w:asciiTheme="majorHAnsi" w:hAnsiTheme="majorHAnsi"/>
          <w:b/>
          <w:color w:val="1F497D" w:themeColor="text2"/>
          <w:sz w:val="20"/>
          <w:szCs w:val="20"/>
        </w:rPr>
        <w:t xml:space="preserve"> and Guardianship</w:t>
      </w:r>
    </w:p>
    <w:p w:rsidR="008E7763" w:rsidRDefault="008E7763">
      <w:pPr>
        <w:rPr>
          <w:rFonts w:asciiTheme="majorHAnsi" w:eastAsiaTheme="majorEastAsia" w:hAnsiTheme="majorHAnsi" w:cstheme="majorBidi"/>
          <w:b/>
          <w:color w:val="243F60" w:themeColor="accent1" w:themeShade="7F"/>
          <w:sz w:val="20"/>
          <w:szCs w:val="20"/>
        </w:rPr>
      </w:pPr>
    </w:p>
    <w:p w:rsidR="00282AEC" w:rsidRPr="00036474" w:rsidRDefault="00282AEC" w:rsidP="00A63269">
      <w:pPr>
        <w:pStyle w:val="Heading3"/>
        <w:spacing w:after="120"/>
        <w:rPr>
          <w:b/>
          <w:sz w:val="20"/>
          <w:szCs w:val="20"/>
        </w:rPr>
      </w:pPr>
      <w:r w:rsidRPr="00036474">
        <w:rPr>
          <w:b/>
          <w:sz w:val="20"/>
          <w:szCs w:val="20"/>
        </w:rPr>
        <w:t xml:space="preserve">Role </w:t>
      </w:r>
      <w:r w:rsidR="00092CD0" w:rsidRPr="00036474">
        <w:rPr>
          <w:b/>
          <w:sz w:val="20"/>
          <w:szCs w:val="20"/>
        </w:rPr>
        <w:t xml:space="preserve">and expectations </w:t>
      </w:r>
      <w:r w:rsidRPr="00036474">
        <w:rPr>
          <w:b/>
          <w:sz w:val="20"/>
          <w:szCs w:val="20"/>
        </w:rPr>
        <w:t>of Guardian</w:t>
      </w:r>
      <w:r w:rsidR="00092CD0" w:rsidRPr="00036474">
        <w:rPr>
          <w:b/>
          <w:sz w:val="20"/>
          <w:szCs w:val="20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807BF" w:rsidRPr="00036474" w:rsidTr="00036474">
        <w:tc>
          <w:tcPr>
            <w:tcW w:w="4508" w:type="dxa"/>
            <w:shd w:val="clear" w:color="auto" w:fill="EAF1DD" w:themeFill="accent3" w:themeFillTint="33"/>
          </w:tcPr>
          <w:p w:rsidR="00C807BF" w:rsidRPr="00036474" w:rsidRDefault="00C807BF" w:rsidP="00F366C2">
            <w:pPr>
              <w:rPr>
                <w:b/>
                <w:sz w:val="20"/>
                <w:szCs w:val="20"/>
              </w:rPr>
            </w:pPr>
            <w:r w:rsidRPr="00036474">
              <w:rPr>
                <w:b/>
                <w:sz w:val="20"/>
                <w:szCs w:val="20"/>
              </w:rPr>
              <w:t>Guardians will:</w:t>
            </w:r>
          </w:p>
        </w:tc>
        <w:tc>
          <w:tcPr>
            <w:tcW w:w="4508" w:type="dxa"/>
            <w:shd w:val="clear" w:color="auto" w:fill="EAF1DD" w:themeFill="accent3" w:themeFillTint="33"/>
          </w:tcPr>
          <w:p w:rsidR="00C807BF" w:rsidRPr="00036474" w:rsidRDefault="00C807BF" w:rsidP="00F366C2">
            <w:pPr>
              <w:rPr>
                <w:b/>
                <w:sz w:val="20"/>
                <w:szCs w:val="20"/>
              </w:rPr>
            </w:pPr>
            <w:r w:rsidRPr="00036474">
              <w:rPr>
                <w:b/>
                <w:sz w:val="20"/>
                <w:szCs w:val="20"/>
              </w:rPr>
              <w:t>Guardians will not:</w:t>
            </w:r>
          </w:p>
        </w:tc>
      </w:tr>
      <w:tr w:rsidR="00C807BF" w:rsidRPr="00036474" w:rsidTr="00036474">
        <w:tc>
          <w:tcPr>
            <w:tcW w:w="4508" w:type="dxa"/>
            <w:shd w:val="clear" w:color="auto" w:fill="EAF1DD" w:themeFill="accent3" w:themeFillTint="33"/>
          </w:tcPr>
          <w:p w:rsidR="00C807BF" w:rsidRPr="00036474" w:rsidRDefault="00C807BF" w:rsidP="0018016C">
            <w:pPr>
              <w:spacing w:after="120"/>
              <w:rPr>
                <w:sz w:val="20"/>
                <w:szCs w:val="20"/>
              </w:rPr>
            </w:pPr>
            <w:r w:rsidRPr="00036474">
              <w:rPr>
                <w:sz w:val="20"/>
                <w:szCs w:val="20"/>
              </w:rPr>
              <w:t xml:space="preserve">Only make NDIS related decisions if they have relevant authority </w:t>
            </w:r>
            <w:r w:rsidR="0018016C">
              <w:rPr>
                <w:sz w:val="20"/>
                <w:szCs w:val="20"/>
              </w:rPr>
              <w:t>to do so.</w:t>
            </w:r>
          </w:p>
        </w:tc>
        <w:tc>
          <w:tcPr>
            <w:tcW w:w="4508" w:type="dxa"/>
            <w:shd w:val="clear" w:color="auto" w:fill="EAF1DD" w:themeFill="accent3" w:themeFillTint="33"/>
          </w:tcPr>
          <w:p w:rsidR="00C807BF" w:rsidRPr="00036474" w:rsidRDefault="00C807BF" w:rsidP="00C807BF">
            <w:p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036474">
              <w:rPr>
                <w:sz w:val="20"/>
                <w:szCs w:val="20"/>
              </w:rPr>
              <w:t>Contact specific service providers for matters pertaining to plan implementation.</w:t>
            </w:r>
          </w:p>
        </w:tc>
      </w:tr>
      <w:tr w:rsidR="00C807BF" w:rsidRPr="00036474" w:rsidTr="00036474">
        <w:tc>
          <w:tcPr>
            <w:tcW w:w="4508" w:type="dxa"/>
            <w:shd w:val="clear" w:color="auto" w:fill="EAF1DD" w:themeFill="accent3" w:themeFillTint="33"/>
          </w:tcPr>
          <w:p w:rsidR="00C807BF" w:rsidRPr="00036474" w:rsidRDefault="00C807BF" w:rsidP="000B0911">
            <w:pPr>
              <w:spacing w:after="120"/>
              <w:rPr>
                <w:sz w:val="20"/>
                <w:szCs w:val="20"/>
              </w:rPr>
            </w:pPr>
            <w:r w:rsidRPr="00036474">
              <w:rPr>
                <w:sz w:val="20"/>
                <w:szCs w:val="20"/>
              </w:rPr>
              <w:t xml:space="preserve">Advocate for supported decision making where possible.  </w:t>
            </w:r>
          </w:p>
        </w:tc>
        <w:tc>
          <w:tcPr>
            <w:tcW w:w="4508" w:type="dxa"/>
            <w:shd w:val="clear" w:color="auto" w:fill="EAF1DD" w:themeFill="accent3" w:themeFillTint="33"/>
          </w:tcPr>
          <w:p w:rsidR="00C807BF" w:rsidRPr="00036474" w:rsidRDefault="00036474" w:rsidP="0024659B">
            <w:p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036474">
              <w:rPr>
                <w:sz w:val="20"/>
                <w:szCs w:val="20"/>
              </w:rPr>
              <w:t xml:space="preserve">Sign service agreements for supported or substitute consent.  </w:t>
            </w:r>
          </w:p>
        </w:tc>
      </w:tr>
      <w:tr w:rsidR="00C807BF" w:rsidRPr="00036474" w:rsidTr="00036474">
        <w:tc>
          <w:tcPr>
            <w:tcW w:w="4508" w:type="dxa"/>
            <w:shd w:val="clear" w:color="auto" w:fill="EAF1DD" w:themeFill="accent3" w:themeFillTint="33"/>
          </w:tcPr>
          <w:p w:rsidR="00C807BF" w:rsidRPr="00036474" w:rsidRDefault="00C807BF" w:rsidP="000B0911">
            <w:pPr>
              <w:spacing w:after="120"/>
              <w:rPr>
                <w:sz w:val="20"/>
                <w:szCs w:val="20"/>
              </w:rPr>
            </w:pPr>
            <w:r w:rsidRPr="00036474">
              <w:rPr>
                <w:sz w:val="20"/>
                <w:szCs w:val="20"/>
              </w:rPr>
              <w:t xml:space="preserve">Make a substitute decision if </w:t>
            </w:r>
            <w:r w:rsidR="000B0911">
              <w:rPr>
                <w:sz w:val="20"/>
                <w:szCs w:val="20"/>
              </w:rPr>
              <w:t>a person</w:t>
            </w:r>
            <w:r w:rsidRPr="00036474">
              <w:rPr>
                <w:sz w:val="20"/>
                <w:szCs w:val="20"/>
              </w:rPr>
              <w:t xml:space="preserve"> is unable to be supported to make a decision about the services they receive, or where the decision is complex or contentious.</w:t>
            </w:r>
          </w:p>
        </w:tc>
        <w:tc>
          <w:tcPr>
            <w:tcW w:w="4508" w:type="dxa"/>
            <w:shd w:val="clear" w:color="auto" w:fill="EAF1DD" w:themeFill="accent3" w:themeFillTint="33"/>
          </w:tcPr>
          <w:p w:rsidR="00C807BF" w:rsidRPr="00036474" w:rsidRDefault="00036474" w:rsidP="001F4E15">
            <w:pPr>
              <w:spacing w:after="120"/>
              <w:rPr>
                <w:sz w:val="20"/>
                <w:szCs w:val="20"/>
              </w:rPr>
            </w:pPr>
            <w:r w:rsidRPr="00036474">
              <w:rPr>
                <w:sz w:val="20"/>
                <w:szCs w:val="20"/>
              </w:rPr>
              <w:t xml:space="preserve">Sign any other documentation that is outside of </w:t>
            </w:r>
            <w:r w:rsidR="001F4E15">
              <w:rPr>
                <w:sz w:val="20"/>
                <w:szCs w:val="20"/>
              </w:rPr>
              <w:t>that</w:t>
            </w:r>
            <w:r w:rsidR="001F4E15" w:rsidRPr="00036474">
              <w:rPr>
                <w:sz w:val="20"/>
                <w:szCs w:val="20"/>
              </w:rPr>
              <w:t xml:space="preserve"> </w:t>
            </w:r>
            <w:r w:rsidRPr="00036474">
              <w:rPr>
                <w:sz w:val="20"/>
                <w:szCs w:val="20"/>
              </w:rPr>
              <w:t>required to effect a</w:t>
            </w:r>
            <w:r w:rsidR="001F4E15">
              <w:rPr>
                <w:sz w:val="20"/>
                <w:szCs w:val="20"/>
              </w:rPr>
              <w:t xml:space="preserve"> guardian’s</w:t>
            </w:r>
            <w:r w:rsidRPr="00036474">
              <w:rPr>
                <w:sz w:val="20"/>
                <w:szCs w:val="20"/>
              </w:rPr>
              <w:t xml:space="preserve"> decision.</w:t>
            </w:r>
          </w:p>
        </w:tc>
      </w:tr>
      <w:tr w:rsidR="00C807BF" w:rsidRPr="00036474" w:rsidTr="00036474">
        <w:tc>
          <w:tcPr>
            <w:tcW w:w="4508" w:type="dxa"/>
            <w:shd w:val="clear" w:color="auto" w:fill="EAF1DD" w:themeFill="accent3" w:themeFillTint="33"/>
          </w:tcPr>
          <w:p w:rsidR="00C807BF" w:rsidRPr="00036474" w:rsidRDefault="0024659B" w:rsidP="007F5715">
            <w:pPr>
              <w:spacing w:after="120"/>
              <w:rPr>
                <w:sz w:val="20"/>
                <w:szCs w:val="20"/>
              </w:rPr>
            </w:pPr>
            <w:r w:rsidRPr="00036474">
              <w:rPr>
                <w:sz w:val="20"/>
                <w:szCs w:val="20"/>
              </w:rPr>
              <w:t xml:space="preserve">Where a substitute decision is required, the guardian will provide written consent </w:t>
            </w:r>
            <w:r w:rsidR="00BD31CA">
              <w:rPr>
                <w:sz w:val="20"/>
                <w:szCs w:val="20"/>
              </w:rPr>
              <w:t xml:space="preserve">to confirm the decision made.  </w:t>
            </w:r>
            <w:r w:rsidR="007F5715">
              <w:rPr>
                <w:sz w:val="20"/>
                <w:szCs w:val="20"/>
              </w:rPr>
              <w:t>The provision of written consent will not delay the implementation of a guardian’s decision that may be confirmed verbally in the first instance</w:t>
            </w:r>
            <w:r w:rsidR="00653C95">
              <w:rPr>
                <w:sz w:val="20"/>
                <w:szCs w:val="20"/>
              </w:rPr>
              <w:t>.</w:t>
            </w:r>
          </w:p>
        </w:tc>
        <w:tc>
          <w:tcPr>
            <w:tcW w:w="4508" w:type="dxa"/>
            <w:shd w:val="clear" w:color="auto" w:fill="EAF1DD" w:themeFill="accent3" w:themeFillTint="33"/>
          </w:tcPr>
          <w:p w:rsidR="00C807BF" w:rsidRPr="00036474" w:rsidRDefault="00C807BF" w:rsidP="0072453E">
            <w:pPr>
              <w:rPr>
                <w:sz w:val="20"/>
                <w:szCs w:val="20"/>
              </w:rPr>
            </w:pPr>
            <w:r w:rsidRPr="00036474">
              <w:rPr>
                <w:sz w:val="20"/>
                <w:szCs w:val="20"/>
              </w:rPr>
              <w:t xml:space="preserve">Provide a case management role </w:t>
            </w:r>
            <w:r w:rsidR="0072453E">
              <w:rPr>
                <w:sz w:val="20"/>
                <w:szCs w:val="20"/>
              </w:rPr>
              <w:t>or be</w:t>
            </w:r>
            <w:r w:rsidR="00245DD3">
              <w:rPr>
                <w:sz w:val="20"/>
                <w:szCs w:val="20"/>
              </w:rPr>
              <w:t xml:space="preserve"> </w:t>
            </w:r>
            <w:r w:rsidRPr="00036474">
              <w:rPr>
                <w:sz w:val="20"/>
                <w:szCs w:val="20"/>
              </w:rPr>
              <w:t>involved in the day to day o</w:t>
            </w:r>
            <w:r w:rsidR="00036474" w:rsidRPr="00036474">
              <w:rPr>
                <w:sz w:val="20"/>
                <w:szCs w:val="20"/>
              </w:rPr>
              <w:t>peration of a person’s supports.</w:t>
            </w:r>
          </w:p>
        </w:tc>
      </w:tr>
      <w:tr w:rsidR="00C807BF" w:rsidRPr="00036474" w:rsidTr="00036474">
        <w:tc>
          <w:tcPr>
            <w:tcW w:w="4508" w:type="dxa"/>
            <w:shd w:val="clear" w:color="auto" w:fill="EAF1DD" w:themeFill="accent3" w:themeFillTint="33"/>
          </w:tcPr>
          <w:p w:rsidR="00C807BF" w:rsidRPr="00036474" w:rsidRDefault="002017E6" w:rsidP="002017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the person is provided </w:t>
            </w:r>
            <w:r w:rsidR="007F5715">
              <w:rPr>
                <w:sz w:val="20"/>
                <w:szCs w:val="20"/>
              </w:rPr>
              <w:t xml:space="preserve">with the necessary </w:t>
            </w:r>
            <w:r>
              <w:rPr>
                <w:sz w:val="20"/>
                <w:szCs w:val="20"/>
              </w:rPr>
              <w:t>support</w:t>
            </w:r>
            <w:r w:rsidR="0024659B" w:rsidRPr="00036474">
              <w:rPr>
                <w:sz w:val="20"/>
                <w:szCs w:val="20"/>
              </w:rPr>
              <w:t xml:space="preserve"> to make decisions about support coordination and provide a letter of consent to formalise this decision, so as to avoid a conflict of interest for the Support Coordinator.</w:t>
            </w:r>
          </w:p>
        </w:tc>
        <w:tc>
          <w:tcPr>
            <w:tcW w:w="4508" w:type="dxa"/>
            <w:shd w:val="clear" w:color="auto" w:fill="EAF1DD" w:themeFill="accent3" w:themeFillTint="33"/>
          </w:tcPr>
          <w:p w:rsidR="00C807BF" w:rsidRPr="00036474" w:rsidRDefault="001F4E15" w:rsidP="00C807BF">
            <w:pPr>
              <w:spacing w:before="4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decisions regarding</w:t>
            </w:r>
            <w:r w:rsidR="00C807BF" w:rsidRPr="00036474">
              <w:rPr>
                <w:sz w:val="20"/>
                <w:szCs w:val="20"/>
              </w:rPr>
              <w:t xml:space="preserve"> the </w:t>
            </w:r>
            <w:r w:rsidR="000B0911">
              <w:rPr>
                <w:sz w:val="20"/>
                <w:szCs w:val="20"/>
              </w:rPr>
              <w:t>persons’</w:t>
            </w:r>
            <w:r w:rsidR="00C807BF" w:rsidRPr="00036474">
              <w:rPr>
                <w:sz w:val="20"/>
                <w:szCs w:val="20"/>
              </w:rPr>
              <w:t xml:space="preserve"> </w:t>
            </w:r>
            <w:r w:rsidR="00C807BF" w:rsidRPr="00036474">
              <w:rPr>
                <w:sz w:val="20"/>
                <w:szCs w:val="20"/>
              </w:rPr>
              <w:fldChar w:fldCharType="begin"/>
            </w:r>
            <w:r w:rsidR="00C807BF" w:rsidRPr="00036474">
              <w:rPr>
                <w:sz w:val="20"/>
                <w:szCs w:val="20"/>
              </w:rPr>
              <w:instrText xml:space="preserve">  </w:instrText>
            </w:r>
            <w:r w:rsidR="00C807BF" w:rsidRPr="00036474">
              <w:rPr>
                <w:sz w:val="20"/>
                <w:szCs w:val="20"/>
              </w:rPr>
              <w:fldChar w:fldCharType="end"/>
            </w:r>
            <w:r w:rsidR="00C807BF" w:rsidRPr="00036474">
              <w:rPr>
                <w:sz w:val="20"/>
                <w:szCs w:val="20"/>
              </w:rPr>
              <w:t xml:space="preserve"> finances, including the management of NDIS Plan funds.  </w:t>
            </w:r>
          </w:p>
          <w:p w:rsidR="00C807BF" w:rsidRPr="00036474" w:rsidRDefault="00C807BF" w:rsidP="00F366C2">
            <w:pPr>
              <w:rPr>
                <w:sz w:val="20"/>
                <w:szCs w:val="20"/>
              </w:rPr>
            </w:pPr>
          </w:p>
        </w:tc>
      </w:tr>
      <w:tr w:rsidR="00C807BF" w:rsidRPr="00036474" w:rsidTr="00036474">
        <w:tc>
          <w:tcPr>
            <w:tcW w:w="4508" w:type="dxa"/>
            <w:shd w:val="clear" w:color="auto" w:fill="EAF1DD" w:themeFill="accent3" w:themeFillTint="33"/>
          </w:tcPr>
          <w:p w:rsidR="00C807BF" w:rsidRPr="00036474" w:rsidRDefault="007F5715" w:rsidP="00F36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Communicate directly with Service Providers, as and when required.</w:t>
            </w:r>
          </w:p>
        </w:tc>
        <w:tc>
          <w:tcPr>
            <w:tcW w:w="4508" w:type="dxa"/>
            <w:shd w:val="clear" w:color="auto" w:fill="EAF1DD" w:themeFill="accent3" w:themeFillTint="33"/>
          </w:tcPr>
          <w:p w:rsidR="00C807BF" w:rsidRPr="00036474" w:rsidRDefault="00C807BF" w:rsidP="0025619F">
            <w:pPr>
              <w:spacing w:before="40" w:after="120"/>
              <w:jc w:val="both"/>
              <w:rPr>
                <w:sz w:val="20"/>
                <w:szCs w:val="20"/>
              </w:rPr>
            </w:pPr>
          </w:p>
        </w:tc>
      </w:tr>
      <w:tr w:rsidR="0025619F" w:rsidRPr="00036474" w:rsidTr="00036474">
        <w:tc>
          <w:tcPr>
            <w:tcW w:w="4508" w:type="dxa"/>
            <w:shd w:val="clear" w:color="auto" w:fill="EAF1DD" w:themeFill="accent3" w:themeFillTint="33"/>
          </w:tcPr>
          <w:p w:rsidR="0025619F" w:rsidRDefault="0025619F" w:rsidP="0065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 </w:t>
            </w:r>
            <w:r w:rsidRPr="00653C95">
              <w:rPr>
                <w:i/>
                <w:sz w:val="20"/>
                <w:szCs w:val="20"/>
              </w:rPr>
              <w:t>Third Party Consent</w:t>
            </w:r>
            <w:r>
              <w:rPr>
                <w:sz w:val="20"/>
                <w:szCs w:val="20"/>
              </w:rPr>
              <w:t xml:space="preserve"> and </w:t>
            </w:r>
            <w:r w:rsidRPr="00653C95">
              <w:rPr>
                <w:i/>
                <w:sz w:val="20"/>
                <w:szCs w:val="20"/>
              </w:rPr>
              <w:t>Consent f</w:t>
            </w:r>
            <w:r w:rsidR="00653C95" w:rsidRPr="00653C95">
              <w:rPr>
                <w:i/>
                <w:sz w:val="20"/>
                <w:szCs w:val="20"/>
              </w:rPr>
              <w:t>or the NDIA to Share I</w:t>
            </w:r>
            <w:r w:rsidRPr="00653C95">
              <w:rPr>
                <w:i/>
                <w:sz w:val="20"/>
                <w:szCs w:val="20"/>
              </w:rPr>
              <w:t>nformation</w:t>
            </w:r>
            <w:r>
              <w:rPr>
                <w:sz w:val="20"/>
                <w:szCs w:val="20"/>
              </w:rPr>
              <w:t xml:space="preserve"> forms and provide a copy to the NDIA.</w:t>
            </w:r>
          </w:p>
        </w:tc>
        <w:tc>
          <w:tcPr>
            <w:tcW w:w="4508" w:type="dxa"/>
            <w:shd w:val="clear" w:color="auto" w:fill="EAF1DD" w:themeFill="accent3" w:themeFillTint="33"/>
          </w:tcPr>
          <w:p w:rsidR="0025619F" w:rsidRPr="00036474" w:rsidRDefault="0025619F">
            <w:pPr>
              <w:spacing w:before="40" w:after="120"/>
              <w:jc w:val="both"/>
              <w:rPr>
                <w:sz w:val="20"/>
                <w:szCs w:val="20"/>
              </w:rPr>
            </w:pPr>
          </w:p>
        </w:tc>
      </w:tr>
      <w:tr w:rsidR="0025619F" w:rsidRPr="00036474" w:rsidTr="00036474">
        <w:tc>
          <w:tcPr>
            <w:tcW w:w="4508" w:type="dxa"/>
            <w:shd w:val="clear" w:color="auto" w:fill="EAF1DD" w:themeFill="accent3" w:themeFillTint="33"/>
          </w:tcPr>
          <w:p w:rsidR="0025619F" w:rsidRDefault="0025619F" w:rsidP="00F36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Plan Review Meeting</w:t>
            </w:r>
            <w:r w:rsidR="00DD5ED0">
              <w:rPr>
                <w:sz w:val="20"/>
                <w:szCs w:val="20"/>
              </w:rPr>
              <w:t>s</w:t>
            </w:r>
            <w:r w:rsidR="00653C95">
              <w:rPr>
                <w:sz w:val="20"/>
                <w:szCs w:val="20"/>
              </w:rPr>
              <w:t xml:space="preserve"> as </w:t>
            </w:r>
            <w:r>
              <w:rPr>
                <w:sz w:val="20"/>
                <w:szCs w:val="20"/>
              </w:rPr>
              <w:t>and when required, at the discretion of the guardian</w:t>
            </w:r>
            <w:r w:rsidR="00653C95">
              <w:rPr>
                <w:sz w:val="20"/>
                <w:szCs w:val="20"/>
              </w:rPr>
              <w:t>.</w:t>
            </w:r>
          </w:p>
        </w:tc>
        <w:tc>
          <w:tcPr>
            <w:tcW w:w="4508" w:type="dxa"/>
            <w:shd w:val="clear" w:color="auto" w:fill="EAF1DD" w:themeFill="accent3" w:themeFillTint="33"/>
          </w:tcPr>
          <w:p w:rsidR="0025619F" w:rsidRPr="00036474" w:rsidRDefault="0025619F">
            <w:pPr>
              <w:spacing w:before="40" w:after="120"/>
              <w:jc w:val="both"/>
              <w:rPr>
                <w:sz w:val="20"/>
                <w:szCs w:val="20"/>
              </w:rPr>
            </w:pPr>
          </w:p>
        </w:tc>
      </w:tr>
    </w:tbl>
    <w:p w:rsidR="00DD5ED0" w:rsidRDefault="00DD5ED0" w:rsidP="00DD5ED0">
      <w:pPr>
        <w:rPr>
          <w:b/>
          <w:sz w:val="20"/>
          <w:szCs w:val="20"/>
        </w:rPr>
      </w:pPr>
    </w:p>
    <w:p w:rsidR="0024659B" w:rsidRPr="00DD5ED0" w:rsidRDefault="00DD5ED0" w:rsidP="00DD5ED0">
      <w:pPr>
        <w:pStyle w:val="Heading3"/>
        <w:spacing w:after="120"/>
        <w:rPr>
          <w:b/>
          <w:sz w:val="20"/>
          <w:szCs w:val="20"/>
        </w:rPr>
      </w:pPr>
      <w:r w:rsidRPr="00036474">
        <w:rPr>
          <w:b/>
          <w:sz w:val="20"/>
          <w:szCs w:val="20"/>
        </w:rPr>
        <w:t xml:space="preserve">Role and expectations of </w:t>
      </w:r>
      <w:r>
        <w:rPr>
          <w:b/>
          <w:sz w:val="20"/>
          <w:szCs w:val="20"/>
        </w:rPr>
        <w:t>Support Coordinators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07BF" w:rsidRPr="00036474" w:rsidTr="00036474">
        <w:tc>
          <w:tcPr>
            <w:tcW w:w="9016" w:type="dxa"/>
            <w:shd w:val="clear" w:color="auto" w:fill="EAF1DD" w:themeFill="accent3" w:themeFillTint="33"/>
          </w:tcPr>
          <w:p w:rsidR="00C807BF" w:rsidRPr="00036474" w:rsidRDefault="00DA01EF" w:rsidP="00B37926">
            <w:pPr>
              <w:spacing w:after="160"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</w:t>
            </w:r>
            <w:r w:rsidR="00C807BF" w:rsidRPr="00036474">
              <w:rPr>
                <w:sz w:val="20"/>
                <w:szCs w:val="20"/>
              </w:rPr>
              <w:t xml:space="preserve"> the participant </w:t>
            </w:r>
            <w:r>
              <w:rPr>
                <w:sz w:val="20"/>
                <w:szCs w:val="20"/>
              </w:rPr>
              <w:t xml:space="preserve">with support </w:t>
            </w:r>
            <w:r w:rsidR="00C807BF" w:rsidRPr="00036474">
              <w:rPr>
                <w:sz w:val="20"/>
                <w:szCs w:val="20"/>
              </w:rPr>
              <w:t xml:space="preserve">to make their own decisions about services and </w:t>
            </w:r>
            <w:r w:rsidR="005C58CE">
              <w:rPr>
                <w:sz w:val="20"/>
                <w:szCs w:val="20"/>
              </w:rPr>
              <w:t>service providers.  Where participants can’t understand a service agreement, this shouldn’t impact on their ability to be able to choose a service provider. Some participants will be able to, and want to, sign their service agreement. Others will not.</w:t>
            </w:r>
            <w:r w:rsidR="00C807BF" w:rsidRPr="00036474">
              <w:rPr>
                <w:sz w:val="20"/>
                <w:szCs w:val="20"/>
              </w:rPr>
              <w:t xml:space="preserve"> </w:t>
            </w:r>
          </w:p>
        </w:tc>
      </w:tr>
      <w:tr w:rsidR="00C807BF" w:rsidRPr="00036474" w:rsidTr="00036474">
        <w:tc>
          <w:tcPr>
            <w:tcW w:w="9016" w:type="dxa"/>
            <w:shd w:val="clear" w:color="auto" w:fill="EAF1DD" w:themeFill="accent3" w:themeFillTint="33"/>
          </w:tcPr>
          <w:p w:rsidR="00C807BF" w:rsidRPr="00036474" w:rsidRDefault="00C807BF" w:rsidP="007A0C6C">
            <w:p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036474">
              <w:rPr>
                <w:sz w:val="20"/>
                <w:szCs w:val="20"/>
              </w:rPr>
              <w:t>Refer support coordination service decisions to the Guardian for consideration and decision.</w:t>
            </w:r>
          </w:p>
        </w:tc>
      </w:tr>
      <w:tr w:rsidR="00C807BF" w:rsidRPr="00036474" w:rsidTr="00036474">
        <w:tc>
          <w:tcPr>
            <w:tcW w:w="9016" w:type="dxa"/>
            <w:shd w:val="clear" w:color="auto" w:fill="EAF1DD" w:themeFill="accent3" w:themeFillTint="33"/>
          </w:tcPr>
          <w:p w:rsidR="00C807BF" w:rsidRPr="00036474" w:rsidRDefault="00C807BF" w:rsidP="007A0C6C">
            <w:p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036474">
              <w:rPr>
                <w:sz w:val="20"/>
                <w:szCs w:val="20"/>
              </w:rPr>
              <w:t>Ensure all service agreements are in line with the participants NDIS Plan and where there are no contentious issues regarding the services being received, process all service agreements.</w:t>
            </w:r>
          </w:p>
        </w:tc>
      </w:tr>
      <w:tr w:rsidR="00036474" w:rsidRPr="00036474" w:rsidTr="00036474">
        <w:tc>
          <w:tcPr>
            <w:tcW w:w="9016" w:type="dxa"/>
            <w:shd w:val="clear" w:color="auto" w:fill="EAF1DD" w:themeFill="accent3" w:themeFillTint="33"/>
          </w:tcPr>
          <w:p w:rsidR="00036474" w:rsidRPr="00036474" w:rsidRDefault="00036474" w:rsidP="000B0911">
            <w:p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036474">
              <w:rPr>
                <w:sz w:val="20"/>
                <w:szCs w:val="20"/>
              </w:rPr>
              <w:t xml:space="preserve">Request Service Providers use Easy Read service agreements where this will meet the </w:t>
            </w:r>
            <w:r w:rsidR="000B0911">
              <w:rPr>
                <w:sz w:val="20"/>
                <w:szCs w:val="20"/>
              </w:rPr>
              <w:t>person</w:t>
            </w:r>
            <w:r w:rsidR="00653C95">
              <w:rPr>
                <w:sz w:val="20"/>
                <w:szCs w:val="20"/>
              </w:rPr>
              <w:t>’</w:t>
            </w:r>
            <w:r w:rsidRPr="00036474">
              <w:rPr>
                <w:sz w:val="20"/>
                <w:szCs w:val="20"/>
              </w:rPr>
              <w:t>s need</w:t>
            </w:r>
            <w:r w:rsidR="00653C95">
              <w:rPr>
                <w:sz w:val="20"/>
                <w:szCs w:val="20"/>
              </w:rPr>
              <w:t>s</w:t>
            </w:r>
            <w:r w:rsidRPr="00036474">
              <w:rPr>
                <w:sz w:val="20"/>
                <w:szCs w:val="20"/>
              </w:rPr>
              <w:t>.</w:t>
            </w:r>
          </w:p>
        </w:tc>
      </w:tr>
      <w:tr w:rsidR="00C807BF" w:rsidRPr="00036474" w:rsidTr="00036474">
        <w:tc>
          <w:tcPr>
            <w:tcW w:w="9016" w:type="dxa"/>
            <w:shd w:val="clear" w:color="auto" w:fill="EAF1DD" w:themeFill="accent3" w:themeFillTint="33"/>
          </w:tcPr>
          <w:p w:rsidR="00C807BF" w:rsidRPr="00036474" w:rsidRDefault="00C807BF" w:rsidP="007F5715">
            <w:p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036474">
              <w:rPr>
                <w:sz w:val="20"/>
                <w:szCs w:val="20"/>
              </w:rPr>
              <w:t xml:space="preserve">Communicate </w:t>
            </w:r>
            <w:r w:rsidR="00E41441">
              <w:rPr>
                <w:sz w:val="20"/>
                <w:szCs w:val="20"/>
              </w:rPr>
              <w:t xml:space="preserve">as and when required </w:t>
            </w:r>
            <w:r w:rsidRPr="00036474">
              <w:rPr>
                <w:sz w:val="20"/>
                <w:szCs w:val="20"/>
              </w:rPr>
              <w:t xml:space="preserve">with the Guardian to discuss </w:t>
            </w:r>
            <w:r w:rsidR="00036474" w:rsidRPr="00036474">
              <w:rPr>
                <w:sz w:val="20"/>
                <w:szCs w:val="20"/>
              </w:rPr>
              <w:t xml:space="preserve">service engagement </w:t>
            </w:r>
            <w:r w:rsidR="00036474">
              <w:rPr>
                <w:sz w:val="20"/>
                <w:szCs w:val="20"/>
              </w:rPr>
              <w:t>and p</w:t>
            </w:r>
            <w:r w:rsidR="00036474" w:rsidRPr="00036474">
              <w:rPr>
                <w:sz w:val="20"/>
                <w:szCs w:val="20"/>
              </w:rPr>
              <w:t xml:space="preserve">rovide </w:t>
            </w:r>
            <w:r w:rsidR="007F5715">
              <w:rPr>
                <w:sz w:val="20"/>
                <w:szCs w:val="20"/>
              </w:rPr>
              <w:t xml:space="preserve">a copy of the Implementation Report and Plan Review report when provided to the NDIS.  </w:t>
            </w:r>
            <w:r w:rsidR="0025619F">
              <w:rPr>
                <w:sz w:val="20"/>
                <w:szCs w:val="20"/>
              </w:rPr>
              <w:t xml:space="preserve">  </w:t>
            </w:r>
          </w:p>
        </w:tc>
      </w:tr>
      <w:tr w:rsidR="00C807BF" w:rsidRPr="00036474" w:rsidTr="00036474">
        <w:tc>
          <w:tcPr>
            <w:tcW w:w="9016" w:type="dxa"/>
            <w:shd w:val="clear" w:color="auto" w:fill="EAF1DD" w:themeFill="accent3" w:themeFillTint="33"/>
          </w:tcPr>
          <w:p w:rsidR="007F5715" w:rsidRPr="00DD5ED0" w:rsidRDefault="00653C95" w:rsidP="00A56EB7">
            <w:pPr>
              <w:spacing w:after="160" w:line="259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Ensure P</w:t>
            </w:r>
            <w:r w:rsidR="00DD5ED0">
              <w:rPr>
                <w:sz w:val="20"/>
                <w:szCs w:val="20"/>
              </w:rPr>
              <w:t>lan</w:t>
            </w:r>
            <w:r>
              <w:rPr>
                <w:sz w:val="20"/>
                <w:szCs w:val="20"/>
              </w:rPr>
              <w:t xml:space="preserve"> Review R</w:t>
            </w:r>
            <w:r w:rsidR="0025619F" w:rsidRPr="00036474">
              <w:rPr>
                <w:sz w:val="20"/>
                <w:szCs w:val="20"/>
              </w:rPr>
              <w:t>eport</w:t>
            </w:r>
            <w:r w:rsidR="00DD5ED0">
              <w:rPr>
                <w:sz w:val="20"/>
                <w:szCs w:val="20"/>
              </w:rPr>
              <w:t>s</w:t>
            </w:r>
            <w:r w:rsidR="0025619F" w:rsidRPr="000364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are provided to the Guardian </w:t>
            </w:r>
            <w:r w:rsidR="0025619F" w:rsidRPr="00036474">
              <w:rPr>
                <w:sz w:val="20"/>
                <w:szCs w:val="20"/>
              </w:rPr>
              <w:t>at least three days in advance of a plan review</w:t>
            </w:r>
            <w:r w:rsidR="0025619F">
              <w:rPr>
                <w:sz w:val="20"/>
                <w:szCs w:val="20"/>
              </w:rPr>
              <w:t xml:space="preserve"> to allow the guardian to determine whether their attendance is required</w:t>
            </w:r>
            <w:r w:rsidR="00DD5ED0">
              <w:rPr>
                <w:sz w:val="20"/>
                <w:szCs w:val="20"/>
              </w:rPr>
              <w:t>.</w:t>
            </w:r>
          </w:p>
        </w:tc>
      </w:tr>
      <w:tr w:rsidR="00C807BF" w:rsidRPr="00036474" w:rsidTr="00036474">
        <w:tc>
          <w:tcPr>
            <w:tcW w:w="9016" w:type="dxa"/>
            <w:shd w:val="clear" w:color="auto" w:fill="EAF1DD" w:themeFill="accent3" w:themeFillTint="33"/>
          </w:tcPr>
          <w:p w:rsidR="00C807BF" w:rsidRPr="00036474" w:rsidRDefault="00C807BF" w:rsidP="007A0C6C">
            <w:p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036474">
              <w:rPr>
                <w:sz w:val="20"/>
                <w:szCs w:val="20"/>
              </w:rPr>
              <w:t>Raise issues or concerns about quality of service, timeliness of service delivery or conflicts of interest with providers directly and with the guardian where necessary (e.g. when a matter cannot be resolved).</w:t>
            </w:r>
          </w:p>
        </w:tc>
      </w:tr>
      <w:tr w:rsidR="00C807BF" w:rsidRPr="00036474" w:rsidTr="00036474">
        <w:tc>
          <w:tcPr>
            <w:tcW w:w="9016" w:type="dxa"/>
            <w:shd w:val="clear" w:color="auto" w:fill="EAF1DD" w:themeFill="accent3" w:themeFillTint="33"/>
          </w:tcPr>
          <w:p w:rsidR="00C807BF" w:rsidRPr="00036474" w:rsidRDefault="00C807BF" w:rsidP="00036474">
            <w:pPr>
              <w:spacing w:after="160" w:line="259" w:lineRule="auto"/>
              <w:contextualSpacing/>
              <w:rPr>
                <w:sz w:val="20"/>
                <w:szCs w:val="20"/>
                <w:highlight w:val="yellow"/>
              </w:rPr>
            </w:pPr>
            <w:r w:rsidRPr="00036474">
              <w:rPr>
                <w:sz w:val="20"/>
                <w:szCs w:val="20"/>
              </w:rPr>
              <w:t xml:space="preserve">Share </w:t>
            </w:r>
            <w:r w:rsidR="00036474" w:rsidRPr="00036474">
              <w:rPr>
                <w:sz w:val="20"/>
                <w:szCs w:val="20"/>
              </w:rPr>
              <w:t xml:space="preserve">relevant </w:t>
            </w:r>
            <w:r w:rsidRPr="00036474">
              <w:rPr>
                <w:sz w:val="20"/>
                <w:szCs w:val="20"/>
              </w:rPr>
              <w:t>information with health professionals and services,</w:t>
            </w:r>
            <w:r w:rsidR="00036474" w:rsidRPr="00036474">
              <w:rPr>
                <w:sz w:val="20"/>
                <w:szCs w:val="20"/>
              </w:rPr>
              <w:t xml:space="preserve"> for the purpose of plan implementation and/or to carry out assessment and deliver the service(s).</w:t>
            </w:r>
          </w:p>
        </w:tc>
      </w:tr>
      <w:tr w:rsidR="00C807BF" w:rsidRPr="00036474" w:rsidTr="00036474">
        <w:tc>
          <w:tcPr>
            <w:tcW w:w="9016" w:type="dxa"/>
            <w:shd w:val="clear" w:color="auto" w:fill="EAF1DD" w:themeFill="accent3" w:themeFillTint="33"/>
          </w:tcPr>
          <w:p w:rsidR="00C807BF" w:rsidRPr="00036474" w:rsidRDefault="00C807BF" w:rsidP="000B0911">
            <w:p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036474">
              <w:rPr>
                <w:sz w:val="20"/>
                <w:szCs w:val="20"/>
              </w:rPr>
              <w:t xml:space="preserve">Monitor plan expenditure, identify the need for and seek plan reviews when supports are not meeting the </w:t>
            </w:r>
            <w:r w:rsidR="000B0911">
              <w:rPr>
                <w:sz w:val="20"/>
                <w:szCs w:val="20"/>
              </w:rPr>
              <w:t>person</w:t>
            </w:r>
            <w:r w:rsidRPr="00036474">
              <w:rPr>
                <w:sz w:val="20"/>
                <w:szCs w:val="20"/>
              </w:rPr>
              <w:t>’s needs.</w:t>
            </w:r>
          </w:p>
        </w:tc>
      </w:tr>
      <w:tr w:rsidR="00C807BF" w:rsidRPr="00036474" w:rsidTr="00036474">
        <w:tc>
          <w:tcPr>
            <w:tcW w:w="9016" w:type="dxa"/>
            <w:shd w:val="clear" w:color="auto" w:fill="EAF1DD" w:themeFill="accent3" w:themeFillTint="33"/>
          </w:tcPr>
          <w:p w:rsidR="00C807BF" w:rsidRPr="00036474" w:rsidRDefault="00C807BF" w:rsidP="002B6994">
            <w:p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036474">
              <w:rPr>
                <w:sz w:val="20"/>
                <w:szCs w:val="20"/>
              </w:rPr>
              <w:t xml:space="preserve">Obtain consent (either </w:t>
            </w:r>
            <w:r w:rsidR="00F72E91">
              <w:rPr>
                <w:sz w:val="20"/>
                <w:szCs w:val="20"/>
              </w:rPr>
              <w:t>from</w:t>
            </w:r>
            <w:r w:rsidR="00F72E91" w:rsidRPr="00036474">
              <w:rPr>
                <w:sz w:val="20"/>
                <w:szCs w:val="20"/>
              </w:rPr>
              <w:t xml:space="preserve"> </w:t>
            </w:r>
            <w:r w:rsidRPr="00036474">
              <w:rPr>
                <w:sz w:val="20"/>
                <w:szCs w:val="20"/>
              </w:rPr>
              <w:t xml:space="preserve">the participant or the guardian depending on the circumstances) </w:t>
            </w:r>
            <w:r w:rsidR="0025619F">
              <w:rPr>
                <w:sz w:val="20"/>
                <w:szCs w:val="20"/>
              </w:rPr>
              <w:t xml:space="preserve">via a </w:t>
            </w:r>
            <w:r w:rsidR="0025619F" w:rsidRPr="00653C95">
              <w:rPr>
                <w:i/>
                <w:sz w:val="20"/>
                <w:szCs w:val="20"/>
              </w:rPr>
              <w:t>Third Party Consent Form</w:t>
            </w:r>
            <w:r w:rsidR="0025619F">
              <w:rPr>
                <w:sz w:val="20"/>
                <w:szCs w:val="20"/>
              </w:rPr>
              <w:t xml:space="preserve"> and </w:t>
            </w:r>
            <w:r w:rsidR="00653C95">
              <w:rPr>
                <w:i/>
                <w:sz w:val="20"/>
                <w:szCs w:val="20"/>
              </w:rPr>
              <w:t>Consent for the NDIA to Share I</w:t>
            </w:r>
            <w:r w:rsidR="0025619F" w:rsidRPr="00653C95">
              <w:rPr>
                <w:i/>
                <w:sz w:val="20"/>
                <w:szCs w:val="20"/>
              </w:rPr>
              <w:t>nformation</w:t>
            </w:r>
            <w:r w:rsidR="0025619F">
              <w:rPr>
                <w:sz w:val="20"/>
                <w:szCs w:val="20"/>
              </w:rPr>
              <w:t xml:space="preserve">, </w:t>
            </w:r>
            <w:r w:rsidRPr="00036474">
              <w:rPr>
                <w:sz w:val="20"/>
                <w:szCs w:val="20"/>
              </w:rPr>
              <w:t>to</w:t>
            </w:r>
            <w:r w:rsidR="00F72E91">
              <w:rPr>
                <w:sz w:val="20"/>
                <w:szCs w:val="20"/>
              </w:rPr>
              <w:t xml:space="preserve"> provide and</w:t>
            </w:r>
            <w:r w:rsidRPr="00036474">
              <w:rPr>
                <w:sz w:val="20"/>
                <w:szCs w:val="20"/>
              </w:rPr>
              <w:t xml:space="preserve"> receive plan information</w:t>
            </w:r>
            <w:r w:rsidR="00F72E91">
              <w:rPr>
                <w:sz w:val="20"/>
                <w:szCs w:val="20"/>
              </w:rPr>
              <w:t xml:space="preserve">, as well as to </w:t>
            </w:r>
            <w:r w:rsidR="002B6994">
              <w:rPr>
                <w:sz w:val="20"/>
                <w:szCs w:val="20"/>
              </w:rPr>
              <w:t>facilitate</w:t>
            </w:r>
            <w:r w:rsidR="00F72E91">
              <w:rPr>
                <w:sz w:val="20"/>
                <w:szCs w:val="20"/>
              </w:rPr>
              <w:t xml:space="preserve"> outcomes such as a plan review.</w:t>
            </w:r>
          </w:p>
        </w:tc>
      </w:tr>
      <w:tr w:rsidR="00C807BF" w:rsidRPr="00036474" w:rsidTr="00036474">
        <w:tc>
          <w:tcPr>
            <w:tcW w:w="9016" w:type="dxa"/>
            <w:shd w:val="clear" w:color="auto" w:fill="EAF1DD" w:themeFill="accent3" w:themeFillTint="33"/>
          </w:tcPr>
          <w:p w:rsidR="00C807BF" w:rsidRPr="00036474" w:rsidRDefault="00C807BF" w:rsidP="00C807BF">
            <w:p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036474">
              <w:rPr>
                <w:sz w:val="20"/>
                <w:szCs w:val="20"/>
              </w:rPr>
              <w:t xml:space="preserve">Seek clarification from the guardian if unsure about whether a particular issue requires a substitute </w:t>
            </w:r>
            <w:r w:rsidR="00A9517E">
              <w:rPr>
                <w:sz w:val="20"/>
                <w:szCs w:val="20"/>
              </w:rPr>
              <w:t>decision on the person’s behalf</w:t>
            </w:r>
            <w:r w:rsidR="00750F4E">
              <w:rPr>
                <w:sz w:val="20"/>
                <w:szCs w:val="20"/>
              </w:rPr>
              <w:t>.</w:t>
            </w:r>
          </w:p>
        </w:tc>
      </w:tr>
    </w:tbl>
    <w:p w:rsidR="00752B22" w:rsidRPr="00036474" w:rsidRDefault="00752B22" w:rsidP="007421E5">
      <w:pPr>
        <w:spacing w:after="120"/>
        <w:rPr>
          <w:sz w:val="20"/>
          <w:szCs w:val="20"/>
        </w:rPr>
      </w:pPr>
      <w:bookmarkStart w:id="0" w:name="en-au"/>
      <w:bookmarkEnd w:id="0"/>
    </w:p>
    <w:p w:rsidR="00036474" w:rsidRPr="00036474" w:rsidRDefault="00DD5ED0" w:rsidP="00DD5ED0">
      <w:pPr>
        <w:pStyle w:val="Heading3"/>
        <w:spacing w:after="120"/>
        <w:rPr>
          <w:b/>
          <w:sz w:val="20"/>
          <w:szCs w:val="20"/>
        </w:rPr>
      </w:pPr>
      <w:r w:rsidRPr="00036474">
        <w:rPr>
          <w:b/>
          <w:sz w:val="20"/>
          <w:szCs w:val="20"/>
        </w:rPr>
        <w:t xml:space="preserve">Role and expectations of </w:t>
      </w:r>
      <w:r w:rsidR="00653C95">
        <w:rPr>
          <w:b/>
          <w:sz w:val="20"/>
          <w:szCs w:val="20"/>
        </w:rPr>
        <w:t>Service Providers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61DD" w:rsidRPr="00036474" w:rsidTr="00BA61DD">
        <w:tc>
          <w:tcPr>
            <w:tcW w:w="9016" w:type="dxa"/>
            <w:shd w:val="clear" w:color="auto" w:fill="EAF1DD" w:themeFill="accent3" w:themeFillTint="33"/>
          </w:tcPr>
          <w:p w:rsidR="00BA61DD" w:rsidRDefault="00A9517E" w:rsidP="00A9517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the </w:t>
            </w:r>
            <w:r w:rsidR="0024659B">
              <w:rPr>
                <w:sz w:val="20"/>
                <w:szCs w:val="20"/>
              </w:rPr>
              <w:t>Support Coordinator</w:t>
            </w:r>
            <w:r>
              <w:rPr>
                <w:sz w:val="20"/>
                <w:szCs w:val="20"/>
              </w:rPr>
              <w:t xml:space="preserve"> and participant to progress quality service provision and timely service delivery.</w:t>
            </w:r>
          </w:p>
        </w:tc>
      </w:tr>
      <w:tr w:rsidR="0025619F" w:rsidRPr="00036474" w:rsidTr="00BA61DD">
        <w:tc>
          <w:tcPr>
            <w:tcW w:w="9016" w:type="dxa"/>
            <w:shd w:val="clear" w:color="auto" w:fill="EAF1DD" w:themeFill="accent3" w:themeFillTint="33"/>
          </w:tcPr>
          <w:p w:rsidR="0025619F" w:rsidRDefault="0025619F" w:rsidP="00A9517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all service agreements to the Support Coordinator</w:t>
            </w:r>
            <w:r w:rsidR="00DD5ED0">
              <w:rPr>
                <w:sz w:val="20"/>
                <w:szCs w:val="20"/>
              </w:rPr>
              <w:t xml:space="preserve"> to e</w:t>
            </w:r>
            <w:r w:rsidR="00DD5ED0" w:rsidRPr="00036474">
              <w:rPr>
                <w:sz w:val="20"/>
                <w:szCs w:val="20"/>
              </w:rPr>
              <w:t>nsure all service agreements are in line with the participants NDIS Plan</w:t>
            </w:r>
          </w:p>
        </w:tc>
      </w:tr>
      <w:tr w:rsidR="00036474" w:rsidRPr="00036474" w:rsidTr="00BA61DD">
        <w:tc>
          <w:tcPr>
            <w:tcW w:w="9016" w:type="dxa"/>
            <w:shd w:val="clear" w:color="auto" w:fill="EAF1DD" w:themeFill="accent3" w:themeFillTint="33"/>
          </w:tcPr>
          <w:p w:rsidR="00036474" w:rsidRPr="00036474" w:rsidRDefault="002B6994" w:rsidP="0084606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A61DD" w:rsidRPr="00036474">
              <w:rPr>
                <w:sz w:val="20"/>
                <w:szCs w:val="20"/>
              </w:rPr>
              <w:t>rovide</w:t>
            </w:r>
            <w:r w:rsidR="0024659B">
              <w:rPr>
                <w:sz w:val="20"/>
                <w:szCs w:val="20"/>
              </w:rPr>
              <w:t xml:space="preserve"> participants with</w:t>
            </w:r>
            <w:r w:rsidR="00BA61DD" w:rsidRPr="00036474">
              <w:rPr>
                <w:sz w:val="20"/>
                <w:szCs w:val="20"/>
              </w:rPr>
              <w:t xml:space="preserve"> </w:t>
            </w:r>
            <w:r w:rsidR="0024659B">
              <w:rPr>
                <w:sz w:val="20"/>
                <w:szCs w:val="20"/>
              </w:rPr>
              <w:t xml:space="preserve">Easy Read </w:t>
            </w:r>
            <w:r>
              <w:rPr>
                <w:sz w:val="20"/>
                <w:szCs w:val="20"/>
              </w:rPr>
              <w:t>documentation</w:t>
            </w:r>
            <w:r w:rsidR="0024659B">
              <w:rPr>
                <w:sz w:val="20"/>
                <w:szCs w:val="20"/>
              </w:rPr>
              <w:t xml:space="preserve"> to ensure they can understand and </w:t>
            </w:r>
            <w:r w:rsidR="00A9517E">
              <w:rPr>
                <w:sz w:val="20"/>
                <w:szCs w:val="20"/>
              </w:rPr>
              <w:t>participate</w:t>
            </w:r>
            <w:r w:rsidR="00846067">
              <w:rPr>
                <w:sz w:val="20"/>
                <w:szCs w:val="20"/>
              </w:rPr>
              <w:t xml:space="preserve"> to the best of their ability</w:t>
            </w:r>
            <w:r w:rsidR="0024659B">
              <w:rPr>
                <w:sz w:val="20"/>
                <w:szCs w:val="20"/>
              </w:rPr>
              <w:t xml:space="preserve"> in the service/s provided</w:t>
            </w:r>
            <w:r w:rsidR="00BA61DD">
              <w:rPr>
                <w:sz w:val="20"/>
                <w:szCs w:val="20"/>
              </w:rPr>
              <w:t>.</w:t>
            </w:r>
            <w:r w:rsidR="0018016C">
              <w:rPr>
                <w:sz w:val="20"/>
                <w:szCs w:val="20"/>
              </w:rPr>
              <w:t xml:space="preserve"> </w:t>
            </w:r>
          </w:p>
        </w:tc>
      </w:tr>
      <w:tr w:rsidR="0018016C" w:rsidTr="00BA61DD">
        <w:tc>
          <w:tcPr>
            <w:tcW w:w="9016" w:type="dxa"/>
            <w:shd w:val="clear" w:color="auto" w:fill="EAF1DD" w:themeFill="accent3" w:themeFillTint="33"/>
          </w:tcPr>
          <w:p w:rsidR="0018016C" w:rsidRDefault="0018016C" w:rsidP="00846067">
            <w:pPr>
              <w:spacing w:after="120"/>
            </w:pPr>
            <w:r>
              <w:rPr>
                <w:sz w:val="20"/>
                <w:szCs w:val="20"/>
              </w:rPr>
              <w:t xml:space="preserve">Where a participant is unable to </w:t>
            </w:r>
            <w:r w:rsidR="00846067">
              <w:rPr>
                <w:sz w:val="20"/>
                <w:szCs w:val="20"/>
              </w:rPr>
              <w:t xml:space="preserve">make </w:t>
            </w:r>
            <w:r>
              <w:rPr>
                <w:sz w:val="20"/>
                <w:szCs w:val="20"/>
              </w:rPr>
              <w:t>supported decisions, refer service decision</w:t>
            </w:r>
            <w:r w:rsidR="002B699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to the Guardian, via the Support Coordinator for substitute consent.  </w:t>
            </w:r>
          </w:p>
        </w:tc>
      </w:tr>
    </w:tbl>
    <w:p w:rsidR="00036474" w:rsidRPr="00C807BF" w:rsidRDefault="00036474" w:rsidP="007421E5">
      <w:pPr>
        <w:spacing w:after="120"/>
      </w:pPr>
    </w:p>
    <w:sectPr w:rsidR="00036474" w:rsidRPr="00C807BF" w:rsidSect="00A63269">
      <w:footerReference w:type="default" r:id="rId9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08DB8" w16cex:dateUtc="2023-02-09T22:32:00Z"/>
  <w16cex:commentExtensible w16cex:durableId="27908D5C" w16cex:dateUtc="2023-02-09T22:31:00Z"/>
  <w16cex:commentExtensible w16cex:durableId="2790D931" w16cex:dateUtc="2023-02-10T03:54:00Z"/>
  <w16cex:commentExtensible w16cex:durableId="27908D05" w16cex:dateUtc="2023-02-09T2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2D6843" w16cid:durableId="27908DB8"/>
  <w16cid:commentId w16cid:paraId="097312D9" w16cid:durableId="27908D5C"/>
  <w16cid:commentId w16cid:paraId="651D369F" w16cid:durableId="2790D931"/>
  <w16cid:commentId w16cid:paraId="04A4AC64" w16cid:durableId="27908D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C69" w:rsidRDefault="00416C69" w:rsidP="00DE7869">
      <w:pPr>
        <w:spacing w:after="0" w:line="240" w:lineRule="auto"/>
      </w:pPr>
      <w:r>
        <w:separator/>
      </w:r>
    </w:p>
  </w:endnote>
  <w:endnote w:type="continuationSeparator" w:id="0">
    <w:p w:rsidR="00416C69" w:rsidRDefault="00416C69" w:rsidP="00DE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419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2F06" w:rsidRDefault="003E2F0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7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2F06" w:rsidRDefault="003E2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C69" w:rsidRDefault="00416C69" w:rsidP="00DE7869">
      <w:pPr>
        <w:spacing w:after="0" w:line="240" w:lineRule="auto"/>
      </w:pPr>
      <w:r>
        <w:separator/>
      </w:r>
    </w:p>
  </w:footnote>
  <w:footnote w:type="continuationSeparator" w:id="0">
    <w:p w:rsidR="00416C69" w:rsidRDefault="00416C69" w:rsidP="00DE7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64043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8CC37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B87CBE"/>
    <w:multiLevelType w:val="hybridMultilevel"/>
    <w:tmpl w:val="D6286CE4"/>
    <w:lvl w:ilvl="0" w:tplc="135C25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F1344"/>
    <w:multiLevelType w:val="hybridMultilevel"/>
    <w:tmpl w:val="ADA064B0"/>
    <w:lvl w:ilvl="0" w:tplc="2F5C67F6"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75216C"/>
    <w:multiLevelType w:val="hybridMultilevel"/>
    <w:tmpl w:val="CB5C3D3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D06CA"/>
    <w:multiLevelType w:val="hybridMultilevel"/>
    <w:tmpl w:val="83BC2502"/>
    <w:lvl w:ilvl="0" w:tplc="67A6E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173D"/>
    <w:multiLevelType w:val="hybridMultilevel"/>
    <w:tmpl w:val="4C98D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41B46"/>
    <w:multiLevelType w:val="hybridMultilevel"/>
    <w:tmpl w:val="85569AD0"/>
    <w:lvl w:ilvl="0" w:tplc="13A4B6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F735F"/>
    <w:multiLevelType w:val="hybridMultilevel"/>
    <w:tmpl w:val="8B104C20"/>
    <w:lvl w:ilvl="0" w:tplc="D57A5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CCF62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34C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A5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C0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80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64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E7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7C4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7EE4990"/>
    <w:multiLevelType w:val="hybridMultilevel"/>
    <w:tmpl w:val="CED8E06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83CE3"/>
    <w:multiLevelType w:val="hybridMultilevel"/>
    <w:tmpl w:val="0332D2C6"/>
    <w:lvl w:ilvl="0" w:tplc="0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 w15:restartNumberingAfterBreak="0">
    <w:nsid w:val="1A321476"/>
    <w:multiLevelType w:val="hybridMultilevel"/>
    <w:tmpl w:val="4746D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E2FD7"/>
    <w:multiLevelType w:val="hybridMultilevel"/>
    <w:tmpl w:val="32F2FCE8"/>
    <w:lvl w:ilvl="0" w:tplc="135C25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FA0E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62B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8CC3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E495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20A0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682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301B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8A0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711F5"/>
    <w:multiLevelType w:val="hybridMultilevel"/>
    <w:tmpl w:val="30B60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87EAE"/>
    <w:multiLevelType w:val="hybridMultilevel"/>
    <w:tmpl w:val="7CF2BFDC"/>
    <w:lvl w:ilvl="0" w:tplc="D57A576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007B07"/>
    <w:multiLevelType w:val="hybridMultilevel"/>
    <w:tmpl w:val="3B6E7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104AC"/>
    <w:multiLevelType w:val="multilevel"/>
    <w:tmpl w:val="DEEA4F3E"/>
    <w:numStyleLink w:val="ZZTablebullets"/>
  </w:abstractNum>
  <w:abstractNum w:abstractNumId="17" w15:restartNumberingAfterBreak="0">
    <w:nsid w:val="493F4292"/>
    <w:multiLevelType w:val="hybridMultilevel"/>
    <w:tmpl w:val="2774F5B6"/>
    <w:lvl w:ilvl="0" w:tplc="135C25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3796F"/>
    <w:multiLevelType w:val="hybridMultilevel"/>
    <w:tmpl w:val="E564B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D071B"/>
    <w:multiLevelType w:val="hybridMultilevel"/>
    <w:tmpl w:val="A460967A"/>
    <w:lvl w:ilvl="0" w:tplc="41A4A7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A0B2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806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B836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88A8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A1F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0F2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CB3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000F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DEEA4F3E"/>
    <w:styleLink w:val="ZZTablebullets"/>
    <w:lvl w:ilvl="0">
      <w:start w:val="1"/>
      <w:numFmt w:val="bullet"/>
      <w:pStyle w:val="OPA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OPA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F64376D"/>
    <w:multiLevelType w:val="hybridMultilevel"/>
    <w:tmpl w:val="281AE0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30320"/>
    <w:multiLevelType w:val="hybridMultilevel"/>
    <w:tmpl w:val="2292A73A"/>
    <w:lvl w:ilvl="0" w:tplc="FD8A3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2B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A1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D6F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4E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61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A1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0A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C0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EDD5F7B"/>
    <w:multiLevelType w:val="hybridMultilevel"/>
    <w:tmpl w:val="9AC065B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7913B2"/>
    <w:multiLevelType w:val="hybridMultilevel"/>
    <w:tmpl w:val="A14EA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D37C8"/>
    <w:multiLevelType w:val="hybridMultilevel"/>
    <w:tmpl w:val="4440A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F2223"/>
    <w:multiLevelType w:val="hybridMultilevel"/>
    <w:tmpl w:val="3E4C5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20CD3"/>
    <w:multiLevelType w:val="hybridMultilevel"/>
    <w:tmpl w:val="639E1CAE"/>
    <w:lvl w:ilvl="0" w:tplc="A266B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6C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8C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8B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82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67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8E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2C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CE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CA340CB"/>
    <w:multiLevelType w:val="hybridMultilevel"/>
    <w:tmpl w:val="F97E1822"/>
    <w:lvl w:ilvl="0" w:tplc="D57A5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0"/>
  </w:num>
  <w:num w:numId="6">
    <w:abstractNumId w:val="16"/>
  </w:num>
  <w:num w:numId="7">
    <w:abstractNumId w:val="6"/>
  </w:num>
  <w:num w:numId="8">
    <w:abstractNumId w:val="25"/>
  </w:num>
  <w:num w:numId="9">
    <w:abstractNumId w:val="11"/>
  </w:num>
  <w:num w:numId="10">
    <w:abstractNumId w:val="23"/>
  </w:num>
  <w:num w:numId="11">
    <w:abstractNumId w:val="21"/>
  </w:num>
  <w:num w:numId="12">
    <w:abstractNumId w:val="10"/>
  </w:num>
  <w:num w:numId="13">
    <w:abstractNumId w:val="15"/>
  </w:num>
  <w:num w:numId="14">
    <w:abstractNumId w:val="18"/>
  </w:num>
  <w:num w:numId="15">
    <w:abstractNumId w:val="9"/>
  </w:num>
  <w:num w:numId="16">
    <w:abstractNumId w:val="7"/>
  </w:num>
  <w:num w:numId="17">
    <w:abstractNumId w:val="22"/>
  </w:num>
  <w:num w:numId="18">
    <w:abstractNumId w:val="8"/>
  </w:num>
  <w:num w:numId="19">
    <w:abstractNumId w:val="19"/>
  </w:num>
  <w:num w:numId="20">
    <w:abstractNumId w:val="12"/>
  </w:num>
  <w:num w:numId="21">
    <w:abstractNumId w:val="27"/>
  </w:num>
  <w:num w:numId="22">
    <w:abstractNumId w:val="14"/>
  </w:num>
  <w:num w:numId="23">
    <w:abstractNumId w:val="28"/>
  </w:num>
  <w:num w:numId="24">
    <w:abstractNumId w:val="2"/>
  </w:num>
  <w:num w:numId="25">
    <w:abstractNumId w:val="17"/>
  </w:num>
  <w:num w:numId="26">
    <w:abstractNumId w:val="4"/>
  </w:num>
  <w:num w:numId="27">
    <w:abstractNumId w:val="2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F4"/>
    <w:rsid w:val="00002F0F"/>
    <w:rsid w:val="000144C2"/>
    <w:rsid w:val="000333F0"/>
    <w:rsid w:val="00036474"/>
    <w:rsid w:val="00063189"/>
    <w:rsid w:val="00073F86"/>
    <w:rsid w:val="00092CD0"/>
    <w:rsid w:val="000B0911"/>
    <w:rsid w:val="000B1296"/>
    <w:rsid w:val="000B645D"/>
    <w:rsid w:val="000B7B9C"/>
    <w:rsid w:val="000D202C"/>
    <w:rsid w:val="00104DF0"/>
    <w:rsid w:val="00112FFC"/>
    <w:rsid w:val="0012782E"/>
    <w:rsid w:val="001418E1"/>
    <w:rsid w:val="00142F8F"/>
    <w:rsid w:val="0016470A"/>
    <w:rsid w:val="0017672C"/>
    <w:rsid w:val="0018016C"/>
    <w:rsid w:val="001D689A"/>
    <w:rsid w:val="001F4E15"/>
    <w:rsid w:val="00201180"/>
    <w:rsid w:val="002017E6"/>
    <w:rsid w:val="00227D57"/>
    <w:rsid w:val="002419A5"/>
    <w:rsid w:val="00245DD3"/>
    <w:rsid w:val="0024659B"/>
    <w:rsid w:val="0025619F"/>
    <w:rsid w:val="00256CEA"/>
    <w:rsid w:val="00282AEC"/>
    <w:rsid w:val="002B0AAF"/>
    <w:rsid w:val="002B1916"/>
    <w:rsid w:val="002B64C5"/>
    <w:rsid w:val="002B6994"/>
    <w:rsid w:val="002C1371"/>
    <w:rsid w:val="002E27F0"/>
    <w:rsid w:val="003121D2"/>
    <w:rsid w:val="003375A6"/>
    <w:rsid w:val="0034569E"/>
    <w:rsid w:val="00350176"/>
    <w:rsid w:val="00356425"/>
    <w:rsid w:val="003575FD"/>
    <w:rsid w:val="00364E19"/>
    <w:rsid w:val="003655AA"/>
    <w:rsid w:val="003666B3"/>
    <w:rsid w:val="003A4EE5"/>
    <w:rsid w:val="003B3BE6"/>
    <w:rsid w:val="003E090B"/>
    <w:rsid w:val="003E2F06"/>
    <w:rsid w:val="003F2AE7"/>
    <w:rsid w:val="0040723B"/>
    <w:rsid w:val="00416C69"/>
    <w:rsid w:val="0044374D"/>
    <w:rsid w:val="00481FE0"/>
    <w:rsid w:val="004C6728"/>
    <w:rsid w:val="004F2E07"/>
    <w:rsid w:val="00530E2E"/>
    <w:rsid w:val="00530E6F"/>
    <w:rsid w:val="00537A57"/>
    <w:rsid w:val="00556383"/>
    <w:rsid w:val="005563EC"/>
    <w:rsid w:val="0056380E"/>
    <w:rsid w:val="00572249"/>
    <w:rsid w:val="005922AF"/>
    <w:rsid w:val="00594D20"/>
    <w:rsid w:val="005A4DDF"/>
    <w:rsid w:val="005A70FF"/>
    <w:rsid w:val="005C58CE"/>
    <w:rsid w:val="005C79C2"/>
    <w:rsid w:val="006224FA"/>
    <w:rsid w:val="00623C03"/>
    <w:rsid w:val="00630C69"/>
    <w:rsid w:val="00653C95"/>
    <w:rsid w:val="006644E0"/>
    <w:rsid w:val="006751E5"/>
    <w:rsid w:val="0067598C"/>
    <w:rsid w:val="00681754"/>
    <w:rsid w:val="006B3320"/>
    <w:rsid w:val="006F612A"/>
    <w:rsid w:val="00704EC1"/>
    <w:rsid w:val="007160DF"/>
    <w:rsid w:val="00721D3D"/>
    <w:rsid w:val="0072453E"/>
    <w:rsid w:val="00732BC4"/>
    <w:rsid w:val="007421E5"/>
    <w:rsid w:val="00750F4E"/>
    <w:rsid w:val="00752B22"/>
    <w:rsid w:val="00763FAF"/>
    <w:rsid w:val="00764780"/>
    <w:rsid w:val="00765EE7"/>
    <w:rsid w:val="00777402"/>
    <w:rsid w:val="00783448"/>
    <w:rsid w:val="007A0C6C"/>
    <w:rsid w:val="007B1C35"/>
    <w:rsid w:val="007B7A1C"/>
    <w:rsid w:val="007E59E6"/>
    <w:rsid w:val="007F5715"/>
    <w:rsid w:val="0082340B"/>
    <w:rsid w:val="00832A0D"/>
    <w:rsid w:val="00846067"/>
    <w:rsid w:val="008720E3"/>
    <w:rsid w:val="008B7928"/>
    <w:rsid w:val="008D0E52"/>
    <w:rsid w:val="008D716C"/>
    <w:rsid w:val="008E53C3"/>
    <w:rsid w:val="008E7763"/>
    <w:rsid w:val="008F4C78"/>
    <w:rsid w:val="00912A19"/>
    <w:rsid w:val="009166E7"/>
    <w:rsid w:val="00924F41"/>
    <w:rsid w:val="00946517"/>
    <w:rsid w:val="00947544"/>
    <w:rsid w:val="00965374"/>
    <w:rsid w:val="00985A47"/>
    <w:rsid w:val="009B0FF4"/>
    <w:rsid w:val="009D304A"/>
    <w:rsid w:val="009F7C4F"/>
    <w:rsid w:val="00A00ED5"/>
    <w:rsid w:val="00A03D65"/>
    <w:rsid w:val="00A45380"/>
    <w:rsid w:val="00A54B46"/>
    <w:rsid w:val="00A56EB7"/>
    <w:rsid w:val="00A63269"/>
    <w:rsid w:val="00A81232"/>
    <w:rsid w:val="00A92FDA"/>
    <w:rsid w:val="00A9517E"/>
    <w:rsid w:val="00AB294B"/>
    <w:rsid w:val="00AB553B"/>
    <w:rsid w:val="00AB6434"/>
    <w:rsid w:val="00AC39B9"/>
    <w:rsid w:val="00AD0692"/>
    <w:rsid w:val="00B32B62"/>
    <w:rsid w:val="00B37926"/>
    <w:rsid w:val="00BA61DD"/>
    <w:rsid w:val="00BB3075"/>
    <w:rsid w:val="00BB67FE"/>
    <w:rsid w:val="00BB73F5"/>
    <w:rsid w:val="00BC1348"/>
    <w:rsid w:val="00BC2E67"/>
    <w:rsid w:val="00BD2BD4"/>
    <w:rsid w:val="00BD31CA"/>
    <w:rsid w:val="00BD55E2"/>
    <w:rsid w:val="00BD7B08"/>
    <w:rsid w:val="00C013EF"/>
    <w:rsid w:val="00C0577D"/>
    <w:rsid w:val="00C30927"/>
    <w:rsid w:val="00C324C2"/>
    <w:rsid w:val="00C33DB1"/>
    <w:rsid w:val="00C43507"/>
    <w:rsid w:val="00C532FE"/>
    <w:rsid w:val="00C669ED"/>
    <w:rsid w:val="00C7338D"/>
    <w:rsid w:val="00C74E0C"/>
    <w:rsid w:val="00C80447"/>
    <w:rsid w:val="00C807BF"/>
    <w:rsid w:val="00C93BAE"/>
    <w:rsid w:val="00C9514C"/>
    <w:rsid w:val="00CA3580"/>
    <w:rsid w:val="00CC3F1D"/>
    <w:rsid w:val="00CD7030"/>
    <w:rsid w:val="00CE25DB"/>
    <w:rsid w:val="00D0381A"/>
    <w:rsid w:val="00D14393"/>
    <w:rsid w:val="00D54729"/>
    <w:rsid w:val="00D555B6"/>
    <w:rsid w:val="00DA01EF"/>
    <w:rsid w:val="00DA33C5"/>
    <w:rsid w:val="00DC4036"/>
    <w:rsid w:val="00DD5ED0"/>
    <w:rsid w:val="00DE7869"/>
    <w:rsid w:val="00DF4B7B"/>
    <w:rsid w:val="00E113EF"/>
    <w:rsid w:val="00E17EE4"/>
    <w:rsid w:val="00E41441"/>
    <w:rsid w:val="00E64BE8"/>
    <w:rsid w:val="00E915EC"/>
    <w:rsid w:val="00EB4AF2"/>
    <w:rsid w:val="00EB7A37"/>
    <w:rsid w:val="00ED4442"/>
    <w:rsid w:val="00ED4A06"/>
    <w:rsid w:val="00EE3EA3"/>
    <w:rsid w:val="00EE5F7B"/>
    <w:rsid w:val="00F03FFD"/>
    <w:rsid w:val="00F11A67"/>
    <w:rsid w:val="00F26A84"/>
    <w:rsid w:val="00F30B9B"/>
    <w:rsid w:val="00F366C2"/>
    <w:rsid w:val="00F50CC5"/>
    <w:rsid w:val="00F560E8"/>
    <w:rsid w:val="00F72E91"/>
    <w:rsid w:val="00F8259F"/>
    <w:rsid w:val="00F9277D"/>
    <w:rsid w:val="00FC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B0DEE"/>
  <w15:chartTrackingRefBased/>
  <w15:docId w15:val="{DEC90DE7-D005-47F9-987D-667877A5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7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4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4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4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FF4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ED4A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2A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78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otnoteReference">
    <w:name w:val="footnote reference"/>
    <w:uiPriority w:val="99"/>
    <w:semiHidden/>
    <w:unhideWhenUsed/>
    <w:rsid w:val="00DE7869"/>
    <w:rPr>
      <w:vertAlign w:val="superscript"/>
    </w:rPr>
  </w:style>
  <w:style w:type="paragraph" w:styleId="FootnoteText">
    <w:name w:val="footnote text"/>
    <w:link w:val="FootnoteTextChar"/>
    <w:uiPriority w:val="99"/>
    <w:unhideWhenUsed/>
    <w:rsid w:val="00DE7869"/>
    <w:pPr>
      <w:spacing w:after="0" w:line="240" w:lineRule="auto"/>
    </w:pPr>
    <w:rPr>
      <w:rFonts w:ascii="Arial" w:eastAsia="Calibri" w:hAnsi="Arial" w:cs="Arial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7869"/>
    <w:rPr>
      <w:rFonts w:ascii="Arial" w:eastAsia="Calibri" w:hAnsi="Arial" w:cs="Arial"/>
      <w:sz w:val="20"/>
      <w:szCs w:val="20"/>
      <w:lang w:eastAsia="en-AU"/>
    </w:rPr>
  </w:style>
  <w:style w:type="paragraph" w:styleId="ListBullet">
    <w:name w:val="List Bullet"/>
    <w:uiPriority w:val="99"/>
    <w:unhideWhenUsed/>
    <w:rsid w:val="00DE7869"/>
    <w:pPr>
      <w:numPr>
        <w:numId w:val="3"/>
      </w:numPr>
      <w:spacing w:after="120" w:line="240" w:lineRule="auto"/>
    </w:pPr>
    <w:rPr>
      <w:rFonts w:ascii="Arial" w:eastAsia="Calibri" w:hAnsi="Arial" w:cs="Arial"/>
      <w:lang w:eastAsia="en-AU"/>
    </w:rPr>
  </w:style>
  <w:style w:type="paragraph" w:styleId="ListBullet2">
    <w:name w:val="List Bullet 2"/>
    <w:uiPriority w:val="99"/>
    <w:semiHidden/>
    <w:unhideWhenUsed/>
    <w:rsid w:val="00DE7869"/>
    <w:pPr>
      <w:numPr>
        <w:numId w:val="4"/>
      </w:numPr>
      <w:spacing w:after="0" w:line="240" w:lineRule="auto"/>
      <w:contextualSpacing/>
    </w:pPr>
    <w:rPr>
      <w:rFonts w:ascii="Arial" w:eastAsia="Calibri" w:hAnsi="Arial" w:cs="Arial"/>
      <w:lang w:eastAsia="en-AU"/>
    </w:rPr>
  </w:style>
  <w:style w:type="paragraph" w:customStyle="1" w:styleId="OPAtablebullet2">
    <w:name w:val="OPA table bullet 2"/>
    <w:basedOn w:val="Normal"/>
    <w:uiPriority w:val="11"/>
    <w:rsid w:val="00DE7869"/>
    <w:pPr>
      <w:numPr>
        <w:ilvl w:val="1"/>
        <w:numId w:val="6"/>
      </w:numPr>
      <w:spacing w:before="80"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OPAtablebullet1">
    <w:name w:val="OPA table bullet 1"/>
    <w:basedOn w:val="Normal"/>
    <w:uiPriority w:val="3"/>
    <w:qFormat/>
    <w:rsid w:val="00DE7869"/>
    <w:pPr>
      <w:numPr>
        <w:numId w:val="6"/>
      </w:numPr>
      <w:spacing w:before="80" w:after="60" w:line="240" w:lineRule="auto"/>
    </w:pPr>
    <w:rPr>
      <w:rFonts w:ascii="Arial" w:eastAsia="Times New Roman" w:hAnsi="Arial" w:cs="Times New Roman"/>
      <w:szCs w:val="20"/>
    </w:rPr>
  </w:style>
  <w:style w:type="numbering" w:customStyle="1" w:styleId="ZZTablebullets">
    <w:name w:val="ZZ Table bullets"/>
    <w:basedOn w:val="NoList"/>
    <w:rsid w:val="00DE7869"/>
    <w:pPr>
      <w:numPr>
        <w:numId w:val="5"/>
      </w:numPr>
    </w:pPr>
  </w:style>
  <w:style w:type="paragraph" w:customStyle="1" w:styleId="NormalOPA">
    <w:name w:val="Normal OPA"/>
    <w:basedOn w:val="Normal"/>
    <w:link w:val="NormalOPAChar"/>
    <w:autoRedefine/>
    <w:qFormat/>
    <w:rsid w:val="00DE7869"/>
    <w:pPr>
      <w:spacing w:before="120" w:after="120"/>
      <w:ind w:left="680"/>
    </w:pPr>
    <w:rPr>
      <w:rFonts w:ascii="Arial" w:eastAsia="Times" w:hAnsi="Arial" w:cs="Times New Roman"/>
      <w:shd w:val="clear" w:color="auto" w:fill="FFFFFF"/>
    </w:rPr>
  </w:style>
  <w:style w:type="character" w:customStyle="1" w:styleId="NormalOPAChar">
    <w:name w:val="Normal OPA Char"/>
    <w:link w:val="NormalOPA"/>
    <w:rsid w:val="00DE7869"/>
    <w:rPr>
      <w:rFonts w:ascii="Arial" w:eastAsia="Times" w:hAnsi="Arial" w:cs="Times New Roman"/>
    </w:rPr>
  </w:style>
  <w:style w:type="paragraph" w:customStyle="1" w:styleId="subsection">
    <w:name w:val="subsection"/>
    <w:basedOn w:val="Normal"/>
    <w:rsid w:val="00DE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DE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E2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F06"/>
  </w:style>
  <w:style w:type="paragraph" w:styleId="Footer">
    <w:name w:val="footer"/>
    <w:basedOn w:val="Normal"/>
    <w:link w:val="FooterChar"/>
    <w:uiPriority w:val="99"/>
    <w:unhideWhenUsed/>
    <w:rsid w:val="003E2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F06"/>
  </w:style>
  <w:style w:type="paragraph" w:styleId="BalloonText">
    <w:name w:val="Balloon Text"/>
    <w:basedOn w:val="Normal"/>
    <w:link w:val="BalloonTextChar"/>
    <w:uiPriority w:val="99"/>
    <w:semiHidden/>
    <w:unhideWhenUsed/>
    <w:rsid w:val="0068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2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27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27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77D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D44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44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444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vision">
    <w:name w:val="Revision"/>
    <w:hidden/>
    <w:uiPriority w:val="99"/>
    <w:semiHidden/>
    <w:rsid w:val="00965374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632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32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326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E5F7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8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8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121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56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028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808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711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837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3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11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15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36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9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27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90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78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18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272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62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504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90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68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82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8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76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87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80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16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F9998-7FD1-4C7D-8637-206C6353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Kim (Public Guardian)</dc:creator>
  <cp:keywords/>
  <dc:description/>
  <cp:lastModifiedBy>McCrossen, Angela</cp:lastModifiedBy>
  <cp:revision>2</cp:revision>
  <cp:lastPrinted>2020-05-19T01:10:00Z</cp:lastPrinted>
  <dcterms:created xsi:type="dcterms:W3CDTF">2023-02-21T22:43:00Z</dcterms:created>
  <dcterms:modified xsi:type="dcterms:W3CDTF">2023-02-21T22:43:00Z</dcterms:modified>
</cp:coreProperties>
</file>